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A34" w:rsidRPr="00234A34" w:rsidRDefault="00234A34" w:rsidP="005E419A">
      <w:pPr>
        <w:ind w:firstLineChars="400" w:firstLine="1120"/>
        <w:rPr>
          <w:rFonts w:ascii="標楷體" w:eastAsia="標楷體" w:hAnsi="標楷體"/>
          <w:sz w:val="28"/>
          <w:szCs w:val="28"/>
        </w:rPr>
      </w:pPr>
      <w:bookmarkStart w:id="0" w:name="_GoBack"/>
      <w:bookmarkEnd w:id="0"/>
      <w:r w:rsidRPr="00234A34">
        <w:rPr>
          <w:rFonts w:ascii="標楷體" w:eastAsia="標楷體" w:hAnsi="標楷體" w:hint="eastAsia"/>
          <w:sz w:val="28"/>
          <w:szCs w:val="28"/>
        </w:rPr>
        <w:t>臺中市大雅區11</w:t>
      </w:r>
      <w:r w:rsidR="00F660BA">
        <w:rPr>
          <w:rFonts w:ascii="標楷體" w:eastAsia="標楷體" w:hAnsi="標楷體"/>
          <w:sz w:val="28"/>
          <w:szCs w:val="28"/>
        </w:rPr>
        <w:t>5</w:t>
      </w:r>
      <w:r w:rsidRPr="00234A34">
        <w:rPr>
          <w:rFonts w:ascii="標楷體" w:eastAsia="標楷體" w:hAnsi="標楷體" w:hint="eastAsia"/>
          <w:sz w:val="28"/>
          <w:szCs w:val="28"/>
        </w:rPr>
        <w:t xml:space="preserve"> 年長青學苑</w:t>
      </w:r>
      <w:r w:rsidR="002C5E0D">
        <w:rPr>
          <w:rFonts w:ascii="標楷體" w:eastAsia="標楷體" w:hAnsi="標楷體" w:hint="eastAsia"/>
          <w:sz w:val="28"/>
          <w:szCs w:val="28"/>
        </w:rPr>
        <w:t>補助案</w:t>
      </w:r>
      <w:r w:rsidRPr="00234A34">
        <w:rPr>
          <w:rFonts w:ascii="標楷體" w:eastAsia="標楷體" w:hAnsi="標楷體" w:hint="eastAsia"/>
          <w:sz w:val="28"/>
          <w:szCs w:val="28"/>
        </w:rPr>
        <w:t>評選計畫公告</w:t>
      </w:r>
    </w:p>
    <w:p w:rsidR="00234A34" w:rsidRPr="00B84F26" w:rsidRDefault="00234A34" w:rsidP="00807390">
      <w:pPr>
        <w:pStyle w:val="a3"/>
        <w:numPr>
          <w:ilvl w:val="0"/>
          <w:numId w:val="1"/>
        </w:numPr>
        <w:ind w:leftChars="0"/>
        <w:rPr>
          <w:rFonts w:ascii="標楷體" w:eastAsia="標楷體" w:hAnsi="標楷體"/>
          <w:color w:val="FF0000"/>
          <w:sz w:val="28"/>
          <w:szCs w:val="28"/>
        </w:rPr>
      </w:pPr>
      <w:r w:rsidRPr="00B84F26">
        <w:rPr>
          <w:rFonts w:ascii="標楷體" w:eastAsia="標楷體" w:hAnsi="標楷體" w:hint="eastAsia"/>
          <w:sz w:val="28"/>
          <w:szCs w:val="28"/>
        </w:rPr>
        <w:t>臺中市大雅區</w:t>
      </w:r>
      <w:r w:rsidR="001C6CF3" w:rsidRPr="00B84F26">
        <w:rPr>
          <w:rFonts w:ascii="標楷體" w:eastAsia="標楷體" w:hAnsi="標楷體" w:hint="eastAsia"/>
          <w:sz w:val="28"/>
          <w:szCs w:val="28"/>
        </w:rPr>
        <w:t>11</w:t>
      </w:r>
      <w:r w:rsidR="00613DDD">
        <w:rPr>
          <w:rFonts w:ascii="標楷體" w:eastAsia="標楷體" w:hAnsi="標楷體"/>
          <w:sz w:val="28"/>
          <w:szCs w:val="28"/>
        </w:rPr>
        <w:t>5</w:t>
      </w:r>
      <w:r w:rsidR="001C6CF3" w:rsidRPr="00B84F26">
        <w:rPr>
          <w:rFonts w:ascii="標楷體" w:eastAsia="標楷體" w:hAnsi="標楷體" w:hint="eastAsia"/>
          <w:sz w:val="28"/>
          <w:szCs w:val="28"/>
        </w:rPr>
        <w:t>年</w:t>
      </w:r>
      <w:r w:rsidRPr="00B84F26">
        <w:rPr>
          <w:rFonts w:ascii="標楷體" w:eastAsia="標楷體" w:hAnsi="標楷體" w:hint="eastAsia"/>
          <w:sz w:val="28"/>
          <w:szCs w:val="28"/>
        </w:rPr>
        <w:t>長青學苑依臺中市政府社會局暨本所簽辦暫定補助新臺幣4</w:t>
      </w:r>
      <w:r w:rsidR="001D2FB2">
        <w:rPr>
          <w:rFonts w:ascii="標楷體" w:eastAsia="標楷體" w:hAnsi="標楷體"/>
          <w:sz w:val="28"/>
          <w:szCs w:val="28"/>
        </w:rPr>
        <w:t>80</w:t>
      </w:r>
      <w:r w:rsidRPr="00B84F26">
        <w:rPr>
          <w:rFonts w:ascii="標楷體" w:eastAsia="標楷體" w:hAnsi="標楷體" w:hint="eastAsia"/>
          <w:sz w:val="28"/>
          <w:szCs w:val="28"/>
        </w:rPr>
        <w:t>萬元整(詳情請看附件:評選計畫)</w:t>
      </w:r>
      <w:r w:rsidR="001C6CF3" w:rsidRPr="001C6CF3">
        <w:rPr>
          <w:rFonts w:hint="eastAsia"/>
        </w:rPr>
        <w:t xml:space="preserve"> </w:t>
      </w:r>
      <w:r w:rsidR="001C6CF3" w:rsidRPr="00B84F26">
        <w:rPr>
          <w:rFonts w:ascii="標楷體" w:eastAsia="標楷體" w:hAnsi="標楷體" w:hint="eastAsia"/>
          <w:sz w:val="28"/>
          <w:szCs w:val="28"/>
        </w:rPr>
        <w:t>。</w:t>
      </w:r>
      <w:r w:rsidR="00807390" w:rsidRPr="00807390">
        <w:rPr>
          <w:rFonts w:ascii="標楷體" w:eastAsia="標楷體" w:hAnsi="標楷體" w:hint="eastAsia"/>
          <w:color w:val="FF0000"/>
          <w:sz w:val="28"/>
          <w:szCs w:val="28"/>
        </w:rPr>
        <w:t>俟</w:t>
      </w:r>
      <w:r w:rsidR="00B84F26" w:rsidRPr="00B84F26">
        <w:rPr>
          <w:rFonts w:ascii="標楷體" w:eastAsia="標楷體" w:hAnsi="標楷體" w:hint="eastAsia"/>
          <w:color w:val="FF0000"/>
          <w:sz w:val="28"/>
          <w:szCs w:val="28"/>
        </w:rPr>
        <w:t>臺中市政府11</w:t>
      </w:r>
      <w:r w:rsidR="00613DDD">
        <w:rPr>
          <w:rFonts w:ascii="標楷體" w:eastAsia="標楷體" w:hAnsi="標楷體"/>
          <w:color w:val="FF0000"/>
          <w:sz w:val="28"/>
          <w:szCs w:val="28"/>
        </w:rPr>
        <w:t>5</w:t>
      </w:r>
      <w:r w:rsidR="00B84F26" w:rsidRPr="00B84F26">
        <w:rPr>
          <w:rFonts w:ascii="標楷體" w:eastAsia="標楷體" w:hAnsi="標楷體" w:hint="eastAsia"/>
          <w:color w:val="FF0000"/>
          <w:sz w:val="28"/>
          <w:szCs w:val="28"/>
        </w:rPr>
        <w:t>年預算經市議會審議通過後額度始生效力；另預算倘經議會刪減或撤除，</w:t>
      </w:r>
      <w:r w:rsidR="00317869">
        <w:rPr>
          <w:rFonts w:ascii="標楷體" w:eastAsia="標楷體" w:hAnsi="標楷體" w:hint="eastAsia"/>
          <w:color w:val="FF0000"/>
          <w:sz w:val="28"/>
          <w:szCs w:val="28"/>
        </w:rPr>
        <w:t>本計畫</w:t>
      </w:r>
      <w:r w:rsidR="00B84F26" w:rsidRPr="00B84F26">
        <w:rPr>
          <w:rFonts w:ascii="標楷體" w:eastAsia="標楷體" w:hAnsi="標楷體" w:hint="eastAsia"/>
          <w:color w:val="FF0000"/>
          <w:sz w:val="28"/>
          <w:szCs w:val="28"/>
        </w:rPr>
        <w:t>執行範圍，項目及額度，將依審議通過之預算調整。</w:t>
      </w:r>
    </w:p>
    <w:p w:rsidR="00D9036E" w:rsidRPr="00D9036E" w:rsidRDefault="00D9036E" w:rsidP="00D9036E">
      <w:pPr>
        <w:pStyle w:val="a3"/>
        <w:numPr>
          <w:ilvl w:val="0"/>
          <w:numId w:val="1"/>
        </w:numPr>
        <w:ind w:leftChars="0"/>
        <w:rPr>
          <w:rFonts w:ascii="標楷體" w:eastAsia="標楷體" w:hAnsi="標楷體"/>
          <w:sz w:val="28"/>
          <w:szCs w:val="28"/>
        </w:rPr>
      </w:pPr>
      <w:r w:rsidRPr="00D9036E">
        <w:rPr>
          <w:rFonts w:ascii="標楷體" w:eastAsia="標楷體" w:hAnsi="標楷體" w:hint="eastAsia"/>
          <w:sz w:val="28"/>
          <w:szCs w:val="28"/>
        </w:rPr>
        <w:t>評審項目、權重及評分方式：</w:t>
      </w:r>
    </w:p>
    <w:p w:rsidR="00D9036E" w:rsidRPr="00167EE1" w:rsidRDefault="00D9036E" w:rsidP="00D9036E">
      <w:pPr>
        <w:ind w:firstLineChars="300" w:firstLine="840"/>
        <w:rPr>
          <w:rFonts w:ascii="標楷體" w:eastAsia="標楷體" w:hAnsi="標楷體"/>
          <w:sz w:val="28"/>
          <w:szCs w:val="28"/>
        </w:rPr>
      </w:pPr>
      <w:r w:rsidRPr="00167EE1">
        <w:rPr>
          <w:rFonts w:ascii="標楷體" w:eastAsia="標楷體" w:hAnsi="標楷體" w:hint="eastAsia"/>
          <w:sz w:val="28"/>
          <w:szCs w:val="28"/>
        </w:rPr>
        <w:t>1.評審項目及權重：</w:t>
      </w:r>
    </w:p>
    <w:p w:rsidR="00D9036E" w:rsidRPr="00167EE1" w:rsidRDefault="00D9036E" w:rsidP="00D9036E">
      <w:pPr>
        <w:ind w:firstLineChars="300" w:firstLine="840"/>
        <w:rPr>
          <w:rFonts w:ascii="標楷體" w:eastAsia="標楷體" w:hAnsi="標楷體"/>
          <w:sz w:val="28"/>
          <w:szCs w:val="28"/>
        </w:rPr>
      </w:pPr>
      <w:r w:rsidRPr="00167EE1">
        <w:rPr>
          <w:rFonts w:ascii="標楷體" w:eastAsia="標楷體" w:hAnsi="標楷體" w:hint="eastAsia"/>
          <w:sz w:val="28"/>
          <w:szCs w:val="28"/>
        </w:rPr>
        <w:t>（1）建議書完整性、可行性及對本案瞭解度（15％）。</w:t>
      </w:r>
    </w:p>
    <w:p w:rsidR="00D9036E" w:rsidRPr="00167EE1" w:rsidRDefault="00D9036E" w:rsidP="00D9036E">
      <w:pPr>
        <w:ind w:firstLineChars="300" w:firstLine="840"/>
        <w:rPr>
          <w:rFonts w:ascii="標楷體" w:eastAsia="標楷體" w:hAnsi="標楷體"/>
          <w:sz w:val="28"/>
          <w:szCs w:val="28"/>
        </w:rPr>
      </w:pPr>
      <w:r w:rsidRPr="00167EE1">
        <w:rPr>
          <w:rFonts w:ascii="標楷體" w:eastAsia="標楷體" w:hAnsi="標楷體" w:hint="eastAsia"/>
          <w:sz w:val="28"/>
          <w:szCs w:val="28"/>
        </w:rPr>
        <w:t>（2）簡報內容及答詢狀況（5％）。</w:t>
      </w:r>
    </w:p>
    <w:p w:rsidR="00D9036E" w:rsidRPr="00167EE1" w:rsidRDefault="00D9036E" w:rsidP="00D9036E">
      <w:pPr>
        <w:ind w:firstLineChars="300" w:firstLine="840"/>
        <w:rPr>
          <w:rFonts w:ascii="標楷體" w:eastAsia="標楷體" w:hAnsi="標楷體"/>
          <w:sz w:val="28"/>
          <w:szCs w:val="28"/>
        </w:rPr>
      </w:pPr>
      <w:r w:rsidRPr="00167EE1">
        <w:rPr>
          <w:rFonts w:ascii="標楷體" w:eastAsia="標楷體" w:hAnsi="標楷體" w:hint="eastAsia"/>
          <w:sz w:val="28"/>
          <w:szCs w:val="28"/>
        </w:rPr>
        <w:t>（3）課程與其場地規劃、監督管理與滿意度調查（30％）。</w:t>
      </w:r>
    </w:p>
    <w:p w:rsidR="00D9036E" w:rsidRPr="00167EE1" w:rsidRDefault="00D9036E" w:rsidP="00D9036E">
      <w:pPr>
        <w:ind w:firstLineChars="300" w:firstLine="840"/>
        <w:rPr>
          <w:rFonts w:ascii="標楷體" w:eastAsia="標楷體" w:hAnsi="標楷體"/>
          <w:sz w:val="28"/>
          <w:szCs w:val="28"/>
        </w:rPr>
      </w:pPr>
      <w:r w:rsidRPr="00167EE1">
        <w:rPr>
          <w:rFonts w:ascii="標楷體" w:eastAsia="標楷體" w:hAnsi="標楷體" w:hint="eastAsia"/>
          <w:sz w:val="28"/>
          <w:szCs w:val="28"/>
        </w:rPr>
        <w:t>（4）財務健全性（15％）。</w:t>
      </w:r>
    </w:p>
    <w:p w:rsidR="00D9036E" w:rsidRPr="00167EE1" w:rsidRDefault="00D9036E" w:rsidP="00D9036E">
      <w:pPr>
        <w:ind w:firstLineChars="300" w:firstLine="840"/>
        <w:rPr>
          <w:rFonts w:ascii="標楷體" w:eastAsia="標楷體" w:hAnsi="標楷體"/>
          <w:sz w:val="28"/>
          <w:szCs w:val="28"/>
        </w:rPr>
      </w:pPr>
      <w:r w:rsidRPr="00167EE1">
        <w:rPr>
          <w:rFonts w:ascii="標楷體" w:eastAsia="標楷體" w:hAnsi="標楷體" w:hint="eastAsia"/>
          <w:sz w:val="28"/>
          <w:szCs w:val="28"/>
        </w:rPr>
        <w:t>（5）師資及工作人力調配管理（15％）。</w:t>
      </w:r>
    </w:p>
    <w:p w:rsidR="00D9036E" w:rsidRPr="00167EE1" w:rsidRDefault="00D9036E" w:rsidP="00D9036E">
      <w:pPr>
        <w:ind w:leftChars="400" w:left="1800" w:hangingChars="300" w:hanging="840"/>
        <w:rPr>
          <w:rFonts w:ascii="標楷體" w:eastAsia="標楷體" w:hAnsi="標楷體"/>
          <w:sz w:val="28"/>
          <w:szCs w:val="28"/>
        </w:rPr>
      </w:pPr>
      <w:r w:rsidRPr="00167EE1">
        <w:rPr>
          <w:rFonts w:ascii="標楷體" w:eastAsia="標楷體" w:hAnsi="標楷體" w:hint="eastAsia"/>
          <w:sz w:val="28"/>
          <w:szCs w:val="28"/>
        </w:rPr>
        <w:t>（6）招生計畫、收退費標準及申訴管道之規劃與訂定（20％）。</w:t>
      </w:r>
    </w:p>
    <w:p w:rsidR="00D9036E" w:rsidRPr="00167EE1" w:rsidRDefault="00D9036E" w:rsidP="00D9036E">
      <w:pPr>
        <w:ind w:firstLineChars="300" w:firstLine="840"/>
        <w:rPr>
          <w:rFonts w:ascii="標楷體" w:eastAsia="標楷體" w:hAnsi="標楷體"/>
          <w:sz w:val="28"/>
          <w:szCs w:val="28"/>
        </w:rPr>
      </w:pPr>
      <w:r w:rsidRPr="00167EE1">
        <w:rPr>
          <w:rFonts w:ascii="標楷體" w:eastAsia="標楷體" w:hAnsi="標楷體" w:hint="eastAsia"/>
          <w:sz w:val="28"/>
          <w:szCs w:val="28"/>
        </w:rPr>
        <w:t>2.評分方式：</w:t>
      </w:r>
    </w:p>
    <w:p w:rsidR="00D9036E" w:rsidRPr="00167EE1" w:rsidRDefault="00D9036E" w:rsidP="00D9036E">
      <w:pPr>
        <w:ind w:leftChars="400" w:left="1520" w:hangingChars="200" w:hanging="560"/>
        <w:rPr>
          <w:rFonts w:ascii="標楷體" w:eastAsia="標楷體" w:hAnsi="標楷體"/>
          <w:sz w:val="28"/>
          <w:szCs w:val="28"/>
        </w:rPr>
      </w:pPr>
      <w:r w:rsidRPr="00167EE1">
        <w:rPr>
          <w:rFonts w:ascii="標楷體" w:eastAsia="標楷體" w:hAnsi="標楷體" w:hint="eastAsia"/>
          <w:sz w:val="28"/>
          <w:szCs w:val="28"/>
        </w:rPr>
        <w:t>(1)每項評審項目評分取至小數點第二位，各評審項目分數加總，分數不得低於70分，總分數計後最高者獲選。</w:t>
      </w:r>
    </w:p>
    <w:p w:rsidR="00D9036E" w:rsidRPr="00167EE1" w:rsidRDefault="00D9036E" w:rsidP="00D9036E">
      <w:pPr>
        <w:ind w:leftChars="400" w:left="1240" w:hangingChars="100" w:hanging="280"/>
        <w:rPr>
          <w:rFonts w:ascii="標楷體" w:eastAsia="標楷體" w:hAnsi="標楷體"/>
          <w:sz w:val="28"/>
          <w:szCs w:val="28"/>
        </w:rPr>
      </w:pPr>
      <w:r w:rsidRPr="00167EE1">
        <w:rPr>
          <w:rFonts w:ascii="標楷體" w:eastAsia="標楷體" w:hAnsi="標楷體" w:hint="eastAsia"/>
          <w:sz w:val="28"/>
          <w:szCs w:val="28"/>
        </w:rPr>
        <w:t>(2)倘總分合計相同者，評審項目依建議書完整性、可行性</w:t>
      </w:r>
      <w:r w:rsidRPr="00167EE1">
        <w:rPr>
          <w:rFonts w:ascii="標楷體" w:eastAsia="標楷體" w:hAnsi="標楷體" w:hint="eastAsia"/>
          <w:sz w:val="28"/>
          <w:szCs w:val="28"/>
        </w:rPr>
        <w:lastRenderedPageBreak/>
        <w:t>及對本案瞭解度分數高者獲選。</w:t>
      </w:r>
    </w:p>
    <w:p w:rsidR="00234A34" w:rsidRPr="00167EE1" w:rsidRDefault="00D9036E" w:rsidP="002C5E0D">
      <w:pPr>
        <w:ind w:firstLineChars="100" w:firstLine="240"/>
        <w:rPr>
          <w:rFonts w:ascii="標楷體" w:eastAsia="標楷體" w:hAnsi="標楷體"/>
          <w:sz w:val="28"/>
          <w:szCs w:val="28"/>
        </w:rPr>
      </w:pPr>
      <w:r>
        <w:rPr>
          <w:rFonts w:hint="eastAsia"/>
        </w:rPr>
        <w:t>三</w:t>
      </w:r>
      <w:r w:rsidR="00234A34">
        <w:rPr>
          <w:rFonts w:hint="eastAsia"/>
        </w:rPr>
        <w:t>、</w:t>
      </w:r>
      <w:r w:rsidR="00234A34" w:rsidRPr="00167EE1">
        <w:rPr>
          <w:rFonts w:ascii="標楷體" w:eastAsia="標楷體" w:hAnsi="標楷體" w:hint="eastAsia"/>
          <w:sz w:val="28"/>
          <w:szCs w:val="28"/>
        </w:rPr>
        <w:t>評選程序：</w:t>
      </w:r>
    </w:p>
    <w:p w:rsidR="00234A34" w:rsidRPr="00167EE1" w:rsidRDefault="00234A34" w:rsidP="00234A34">
      <w:pPr>
        <w:ind w:leftChars="400" w:left="1240" w:hangingChars="100" w:hanging="280"/>
        <w:rPr>
          <w:rFonts w:ascii="標楷體" w:eastAsia="標楷體" w:hAnsi="標楷體"/>
          <w:sz w:val="28"/>
          <w:szCs w:val="28"/>
        </w:rPr>
      </w:pPr>
      <w:r w:rsidRPr="00167EE1">
        <w:rPr>
          <w:rFonts w:ascii="標楷體" w:eastAsia="標楷體" w:hAnsi="標楷體" w:hint="eastAsia"/>
          <w:sz w:val="28"/>
          <w:szCs w:val="28"/>
        </w:rPr>
        <w:t>1.第一階段初評：由主辦單位(本所社會課)先行審查資格文件，通過後由本所組成評選小組進行複審。服務建議書審查內容包含承辦資格(組織章程及登記或設立證明文件，公立學校免附)，以及場地規劃(應附相關介紹)，資格審查不合格者不予進行下一階段之評選，且不得補件。</w:t>
      </w:r>
    </w:p>
    <w:p w:rsidR="00234A34" w:rsidRPr="00167EE1" w:rsidRDefault="00234A34" w:rsidP="00234A34">
      <w:pPr>
        <w:ind w:leftChars="400" w:left="1240" w:hangingChars="100" w:hanging="280"/>
        <w:rPr>
          <w:rFonts w:ascii="標楷體" w:eastAsia="標楷體" w:hAnsi="標楷體"/>
          <w:sz w:val="28"/>
          <w:szCs w:val="28"/>
        </w:rPr>
      </w:pPr>
      <w:r w:rsidRPr="00167EE1">
        <w:rPr>
          <w:rFonts w:ascii="標楷體" w:eastAsia="標楷體" w:hAnsi="標楷體" w:hint="eastAsia"/>
          <w:sz w:val="28"/>
          <w:szCs w:val="28"/>
        </w:rPr>
        <w:t>2.第二階段複審：由本所組成評選小組進行複審，就評審項目、權重及評審標準審查服務建議書，受評單位應提出10分鐘內簡報並就委員所提之疑問予以答詢。</w:t>
      </w:r>
    </w:p>
    <w:p w:rsidR="00234A34" w:rsidRPr="00167EE1" w:rsidRDefault="00234A34" w:rsidP="00D9036E">
      <w:pPr>
        <w:ind w:leftChars="68" w:left="723" w:hangingChars="200" w:hanging="560"/>
        <w:rPr>
          <w:rFonts w:ascii="標楷體" w:eastAsia="標楷體" w:hAnsi="標楷體"/>
          <w:sz w:val="28"/>
          <w:szCs w:val="28"/>
        </w:rPr>
      </w:pPr>
      <w:r>
        <w:rPr>
          <w:rFonts w:ascii="標楷體" w:eastAsia="標楷體" w:hAnsi="標楷體"/>
          <w:sz w:val="28"/>
          <w:szCs w:val="28"/>
        </w:rPr>
        <w:t>四</w:t>
      </w:r>
      <w:r w:rsidRPr="00167EE1">
        <w:rPr>
          <w:rFonts w:ascii="標楷體" w:eastAsia="標楷體" w:hAnsi="標楷體" w:hint="eastAsia"/>
          <w:sz w:val="28"/>
          <w:szCs w:val="28"/>
        </w:rPr>
        <w:t>、本所網站公告</w:t>
      </w:r>
      <w:r w:rsidR="00BF5F29">
        <w:rPr>
          <w:rFonts w:ascii="標楷體" w:eastAsia="標楷體" w:hAnsi="標楷體" w:hint="eastAsia"/>
          <w:sz w:val="28"/>
          <w:szCs w:val="28"/>
        </w:rPr>
        <w:t>1</w:t>
      </w:r>
      <w:r w:rsidR="00BF5F29">
        <w:rPr>
          <w:rFonts w:ascii="標楷體" w:eastAsia="標楷體" w:hAnsi="標楷體"/>
          <w:sz w:val="28"/>
          <w:szCs w:val="28"/>
        </w:rPr>
        <w:t>0</w:t>
      </w:r>
      <w:r w:rsidRPr="00167EE1">
        <w:rPr>
          <w:rFonts w:ascii="標楷體" w:eastAsia="標楷體" w:hAnsi="標楷體" w:hint="eastAsia"/>
          <w:sz w:val="28"/>
          <w:szCs w:val="28"/>
        </w:rPr>
        <w:t>天</w:t>
      </w:r>
      <w:r w:rsidR="00EC1B37">
        <w:rPr>
          <w:rFonts w:ascii="標楷體" w:eastAsia="標楷體" w:hAnsi="標楷體" w:hint="eastAsia"/>
          <w:sz w:val="28"/>
          <w:szCs w:val="28"/>
        </w:rPr>
        <w:t>(自公告日起算</w:t>
      </w:r>
      <w:r w:rsidR="00EC1B37">
        <w:rPr>
          <w:rFonts w:ascii="標楷體" w:eastAsia="標楷體" w:hAnsi="標楷體"/>
          <w:sz w:val="28"/>
          <w:szCs w:val="28"/>
        </w:rPr>
        <w:t>)</w:t>
      </w:r>
      <w:r w:rsidRPr="00167EE1">
        <w:rPr>
          <w:rFonts w:ascii="標楷體" w:eastAsia="標楷體" w:hAnsi="標楷體" w:hint="eastAsia"/>
          <w:sz w:val="28"/>
          <w:szCs w:val="28"/>
        </w:rPr>
        <w:t>，應於公告截止期限前以郵遞(郵戳為憑)或專人送達本所社會課，封面註明「臺中市大雅區11</w:t>
      </w:r>
      <w:r w:rsidR="00B542F9">
        <w:rPr>
          <w:rFonts w:ascii="標楷體" w:eastAsia="標楷體" w:hAnsi="標楷體"/>
          <w:sz w:val="28"/>
          <w:szCs w:val="28"/>
        </w:rPr>
        <w:t>5</w:t>
      </w:r>
      <w:r w:rsidRPr="00167EE1">
        <w:rPr>
          <w:rFonts w:ascii="標楷體" w:eastAsia="標楷體" w:hAnsi="標楷體" w:hint="eastAsia"/>
          <w:sz w:val="28"/>
          <w:szCs w:val="28"/>
        </w:rPr>
        <w:t>年長青學苑</w:t>
      </w:r>
      <w:r w:rsidR="00EC1B37">
        <w:rPr>
          <w:rFonts w:ascii="標楷體" w:eastAsia="標楷體" w:hAnsi="標楷體" w:hint="eastAsia"/>
          <w:sz w:val="28"/>
          <w:szCs w:val="28"/>
        </w:rPr>
        <w:t>補助案</w:t>
      </w:r>
      <w:r w:rsidRPr="00167EE1">
        <w:rPr>
          <w:rFonts w:ascii="標楷體" w:eastAsia="標楷體" w:hAnsi="標楷體" w:hint="eastAsia"/>
          <w:sz w:val="28"/>
          <w:szCs w:val="28"/>
        </w:rPr>
        <w:t>評選計畫」，逾期不予受理(地址：428臺中市大雅區雅環路二段301號)，請依規提出服務建議書6份進行審查，倘服務建議書檢送份數不足，則不符資格。服務建議書審查結果將公告於本所網站無論審查通過與否皆不歸還服務建議書，參加評選之機構或學校應出席評審會</w:t>
      </w:r>
      <w:r w:rsidRPr="00E948A0">
        <w:rPr>
          <w:rFonts w:ascii="標楷體" w:eastAsia="標楷體" w:hAnsi="標楷體" w:hint="eastAsia"/>
          <w:sz w:val="28"/>
          <w:szCs w:val="28"/>
        </w:rPr>
        <w:t>，屆時未出席者，由委員會就書面資料評定之。</w:t>
      </w:r>
    </w:p>
    <w:sectPr w:rsidR="00234A34" w:rsidRPr="00167EE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177" w:rsidRDefault="00D56177" w:rsidP="003C57CB">
      <w:r>
        <w:separator/>
      </w:r>
    </w:p>
  </w:endnote>
  <w:endnote w:type="continuationSeparator" w:id="0">
    <w:p w:rsidR="00D56177" w:rsidRDefault="00D56177" w:rsidP="003C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B" w:rsidRDefault="003C57C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112576"/>
      <w:docPartObj>
        <w:docPartGallery w:val="Page Numbers (Bottom of Page)"/>
        <w:docPartUnique/>
      </w:docPartObj>
    </w:sdtPr>
    <w:sdtEndPr/>
    <w:sdtContent>
      <w:p w:rsidR="003C57CB" w:rsidRDefault="003C57CB" w:rsidP="003C57CB">
        <w:pPr>
          <w:pStyle w:val="a6"/>
          <w:ind w:firstLineChars="2000" w:firstLine="4000"/>
        </w:pPr>
        <w:r>
          <w:fldChar w:fldCharType="begin"/>
        </w:r>
        <w:r>
          <w:instrText>PAGE   \* MERGEFORMAT</w:instrText>
        </w:r>
        <w:r>
          <w:fldChar w:fldCharType="separate"/>
        </w:r>
        <w:r w:rsidR="002E1FD2" w:rsidRPr="002E1FD2">
          <w:rPr>
            <w:noProof/>
            <w:lang w:val="zh-TW"/>
          </w:rPr>
          <w:t>1</w:t>
        </w:r>
        <w:r>
          <w:fldChar w:fldCharType="end"/>
        </w:r>
      </w:p>
    </w:sdtContent>
  </w:sdt>
  <w:p w:rsidR="003C57CB" w:rsidRDefault="003C57C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B" w:rsidRDefault="003C57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177" w:rsidRDefault="00D56177" w:rsidP="003C57CB">
      <w:r>
        <w:separator/>
      </w:r>
    </w:p>
  </w:footnote>
  <w:footnote w:type="continuationSeparator" w:id="0">
    <w:p w:rsidR="00D56177" w:rsidRDefault="00D56177" w:rsidP="003C5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B" w:rsidRDefault="003C57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B" w:rsidRDefault="003C57C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B" w:rsidRDefault="003C57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3215B"/>
    <w:multiLevelType w:val="hybridMultilevel"/>
    <w:tmpl w:val="720A65D8"/>
    <w:lvl w:ilvl="0" w:tplc="B35C6E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6D"/>
    <w:rsid w:val="000B127F"/>
    <w:rsid w:val="00131B5F"/>
    <w:rsid w:val="001474C2"/>
    <w:rsid w:val="001C6CF3"/>
    <w:rsid w:val="001D2FB2"/>
    <w:rsid w:val="001E2BF9"/>
    <w:rsid w:val="001F0AED"/>
    <w:rsid w:val="00234A34"/>
    <w:rsid w:val="002C5E0D"/>
    <w:rsid w:val="002D7BEE"/>
    <w:rsid w:val="002E1FD2"/>
    <w:rsid w:val="00301D6D"/>
    <w:rsid w:val="00317869"/>
    <w:rsid w:val="003C57CB"/>
    <w:rsid w:val="0044342A"/>
    <w:rsid w:val="00484008"/>
    <w:rsid w:val="004B43F7"/>
    <w:rsid w:val="005B08C2"/>
    <w:rsid w:val="005E419A"/>
    <w:rsid w:val="00613DDD"/>
    <w:rsid w:val="00623C65"/>
    <w:rsid w:val="00690679"/>
    <w:rsid w:val="0074076A"/>
    <w:rsid w:val="007703B2"/>
    <w:rsid w:val="007D6A28"/>
    <w:rsid w:val="00807390"/>
    <w:rsid w:val="00810E47"/>
    <w:rsid w:val="00A40A23"/>
    <w:rsid w:val="00A95F52"/>
    <w:rsid w:val="00AF3FB4"/>
    <w:rsid w:val="00B542F9"/>
    <w:rsid w:val="00B84F26"/>
    <w:rsid w:val="00B917CC"/>
    <w:rsid w:val="00B925A8"/>
    <w:rsid w:val="00BE07F8"/>
    <w:rsid w:val="00BF5F29"/>
    <w:rsid w:val="00CE1B3B"/>
    <w:rsid w:val="00D56177"/>
    <w:rsid w:val="00D9036E"/>
    <w:rsid w:val="00E2615B"/>
    <w:rsid w:val="00EA71B9"/>
    <w:rsid w:val="00EC1B37"/>
    <w:rsid w:val="00EC628C"/>
    <w:rsid w:val="00F63BDF"/>
    <w:rsid w:val="00F660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6ACB6-EDA6-45BD-824C-BB16D3C0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08C2"/>
    <w:pPr>
      <w:ind w:leftChars="200" w:left="480"/>
    </w:pPr>
  </w:style>
  <w:style w:type="paragraph" w:styleId="a4">
    <w:name w:val="header"/>
    <w:basedOn w:val="a"/>
    <w:link w:val="a5"/>
    <w:uiPriority w:val="99"/>
    <w:unhideWhenUsed/>
    <w:rsid w:val="003C57CB"/>
    <w:pPr>
      <w:tabs>
        <w:tab w:val="center" w:pos="4153"/>
        <w:tab w:val="right" w:pos="8306"/>
      </w:tabs>
      <w:snapToGrid w:val="0"/>
    </w:pPr>
    <w:rPr>
      <w:sz w:val="20"/>
      <w:szCs w:val="20"/>
    </w:rPr>
  </w:style>
  <w:style w:type="character" w:customStyle="1" w:styleId="a5">
    <w:name w:val="頁首 字元"/>
    <w:basedOn w:val="a0"/>
    <w:link w:val="a4"/>
    <w:uiPriority w:val="99"/>
    <w:rsid w:val="003C57CB"/>
    <w:rPr>
      <w:sz w:val="20"/>
      <w:szCs w:val="20"/>
    </w:rPr>
  </w:style>
  <w:style w:type="paragraph" w:styleId="a6">
    <w:name w:val="footer"/>
    <w:basedOn w:val="a"/>
    <w:link w:val="a7"/>
    <w:uiPriority w:val="99"/>
    <w:unhideWhenUsed/>
    <w:rsid w:val="003C57CB"/>
    <w:pPr>
      <w:tabs>
        <w:tab w:val="center" w:pos="4153"/>
        <w:tab w:val="right" w:pos="8306"/>
      </w:tabs>
      <w:snapToGrid w:val="0"/>
    </w:pPr>
    <w:rPr>
      <w:sz w:val="20"/>
      <w:szCs w:val="20"/>
    </w:rPr>
  </w:style>
  <w:style w:type="character" w:customStyle="1" w:styleId="a7">
    <w:name w:val="頁尾 字元"/>
    <w:basedOn w:val="a0"/>
    <w:link w:val="a6"/>
    <w:uiPriority w:val="99"/>
    <w:rsid w:val="003C57CB"/>
    <w:rPr>
      <w:sz w:val="20"/>
      <w:szCs w:val="20"/>
    </w:rPr>
  </w:style>
  <w:style w:type="paragraph" w:styleId="a8">
    <w:name w:val="Balloon Text"/>
    <w:basedOn w:val="a"/>
    <w:link w:val="a9"/>
    <w:uiPriority w:val="99"/>
    <w:semiHidden/>
    <w:unhideWhenUsed/>
    <w:rsid w:val="00EC1B3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1B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杜煒</dc:creator>
  <cp:keywords/>
  <dc:description/>
  <cp:lastModifiedBy>杜煒</cp:lastModifiedBy>
  <cp:revision>2</cp:revision>
  <cp:lastPrinted>2024-12-03T03:41:00Z</cp:lastPrinted>
  <dcterms:created xsi:type="dcterms:W3CDTF">2025-12-30T00:38:00Z</dcterms:created>
  <dcterms:modified xsi:type="dcterms:W3CDTF">2025-12-30T00:38:00Z</dcterms:modified>
</cp:coreProperties>
</file>